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267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должностного лица – генерального директора ООО «МАРК СТРОЙ» </w:t>
      </w:r>
      <w:r>
        <w:rPr>
          <w:rFonts w:ascii="Times New Roman" w:eastAsia="Times New Roman" w:hAnsi="Times New Roman" w:cs="Times New Roman"/>
          <w:sz w:val="28"/>
          <w:szCs w:val="28"/>
        </w:rPr>
        <w:t>Базутова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Алаудиновича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юридического лица: 628433, Маяковского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1/1, Белый Яр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р-н, Ханты-Мансийский Автономный округ - Югра АО,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СТАНОВИЛ:</w:t>
      </w:r>
    </w:p>
    <w:p>
      <w:pPr>
        <w:spacing w:before="0" w:after="0"/>
        <w:ind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вляясь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года в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 не представил в орган, осуществляющий государственную регистрацию юридических лиц и индивидуальных предпринимателей - ИФНС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достоверные сведе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адресе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16.08.2023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ответственности по ч. 4 ст. 14.25 КоАП РФ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5000 рублей. Указанное постановление вступило в законную силу, штраф не оплачен, изменений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«МАРК СТРОЙ»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произведено. Таким образом, повторное правонарушение, предусмотренное ч. 4 ст. 14.25 КоАП РФ,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 сроков, когда лицо считается подвергнутым административному наказанию, совершив тем самым административное правонарушение, предусмотренное ч. 5 ст. 14.25 КоАП РФ.</w:t>
      </w:r>
    </w:p>
    <w:p>
      <w:pPr>
        <w:spacing w:before="0" w:after="0"/>
        <w:ind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4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в деле материалам.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4 ст. 14.25 КоАП РФ непредставление или представление недостоверных сведений о юридическом лице или об индивидуальном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влечет наложение административного штрафа на должностных лиц в размере от 5000 до 10000 руб.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5 ст. 14.25 КоАП РФ повторное совершение административного правонарушения, предусмотренного ч.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деяния, влечет в отношении должностных лиц дисквалификацию на срок от одного года до трех лет.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усматривается,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24.11.2023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повторно не представил в орган, осуществляющий государственную регистрацию юридических лиц и индивидуальных предпринимателей - ИФНС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ХМАО-Югры, достоверные сведения об адресе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ответственности по ч. 4 ст. 14.25 КоАП РФ и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штрафа 5000 рублей. Указанное постановление вступило в законную силу, штраф не оплачен, изменений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произведено.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 обстоятельства дела подтверждаются следующими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86172400900306800002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представления достоверных сведений (повторно)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осмотра объекта недвижимости, копией постановления 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 4 ст. 14.25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уведомлением о необходимости представления достоверных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выпиской из ЕГРЮЛ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иными представленными доказательствами.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Данные доказательства являются достаточными для установления вины должностного лица в совершении административного правонарушения, предусмотренного ч. 5 ст. 14.25 вышеназванного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привлечения должностного лица к административной ответственности по ч. 5 ст. 14.25 КоАП РФ является не только повторное совершение правонарушения, предусмотренного ч. 4 названной статьи, но и не предоставление в государственный регистрирующий орган документов, сведений об адресе местонахождения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 при рассмотрении дела мировым судьей был установлен факт не предоставления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sz w:val="28"/>
          <w:szCs w:val="28"/>
        </w:rPr>
        <w:t>ий об адресе местонахождения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указанное обстоятельство является достаточным для 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по указанной норме закона.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выписки из ЕГРЮЛ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числиться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овторное совершение административного правонарушения, предусмотренного частью 4 настоящей статьи, а также представление в орган, осуществляющий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«МАРК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ОЙ» </w:t>
      </w:r>
      <w:r>
        <w:rPr>
          <w:rFonts w:ascii="Times New Roman" w:eastAsia="Times New Roman" w:hAnsi="Times New Roman" w:cs="Times New Roman"/>
          <w:sz w:val="28"/>
          <w:szCs w:val="28"/>
        </w:rPr>
        <w:t>Базутова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Алаудиновича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подвергнуть административному наказанию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дисквалификации на срок 1 (один) год.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tabs>
          <w:tab w:val="left" w:pos="432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PassportDatagrp-22rplc-16">
    <w:name w:val="cat-PassportData grp-22 rplc-16"/>
    <w:basedOn w:val="DefaultParagraphFont"/>
  </w:style>
  <w:style w:type="character" w:customStyle="1" w:styleId="cat-ExternalSystemDefinedgrp-30rplc-17">
    <w:name w:val="cat-ExternalSystemDefined grp-30 rplc-17"/>
    <w:basedOn w:val="DefaultParagraphFont"/>
  </w:style>
  <w:style w:type="character" w:customStyle="1" w:styleId="cat-ExternalSystemDefinedgrp-27rplc-18">
    <w:name w:val="cat-ExternalSystemDefined grp-27 rplc-18"/>
    <w:basedOn w:val="DefaultParagraphFont"/>
  </w:style>
  <w:style w:type="character" w:customStyle="1" w:styleId="cat-ExternalSystemDefinedgrp-26rplc-19">
    <w:name w:val="cat-ExternalSystemDefined grp-26 rplc-19"/>
    <w:basedOn w:val="DefaultParagraphFont"/>
  </w:style>
  <w:style w:type="character" w:customStyle="1" w:styleId="cat-ExternalSystemDefinedgrp-28rplc-20">
    <w:name w:val="cat-ExternalSystemDefined grp-28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